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D73F" w14:textId="032965A0" w:rsidR="00566398" w:rsidRDefault="0000000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453533">
        <w:rPr>
          <w:rFonts w:ascii="方正仿宋_GBK" w:eastAsia="方正仿宋_GBK" w:hAnsi="方正仿宋_GBK" w:cs="方正仿宋_GBK" w:hint="eastAsia"/>
          <w:sz w:val="32"/>
          <w:szCs w:val="32"/>
        </w:rPr>
        <w:t>朱丽华</w:t>
      </w:r>
    </w:p>
    <w:p w14:paraId="3FB6989A" w14:textId="1FC4B250" w:rsidR="00566398" w:rsidRPr="0096421D" w:rsidRDefault="00070EDC" w:rsidP="0096421D">
      <w:pPr>
        <w:pStyle w:val="a3"/>
        <w:numPr>
          <w:ilvl w:val="0"/>
          <w:numId w:val="1"/>
        </w:numPr>
        <w:ind w:firstLineChars="0" w:firstLine="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 wp14:anchorId="3E3B5FB3" wp14:editId="04AE1BEC">
            <wp:simplePos x="0" y="0"/>
            <wp:positionH relativeFrom="column">
              <wp:posOffset>920750</wp:posOffset>
            </wp:positionH>
            <wp:positionV relativeFrom="paragraph">
              <wp:posOffset>372110</wp:posOffset>
            </wp:positionV>
            <wp:extent cx="1191895" cy="1495425"/>
            <wp:effectExtent l="0" t="0" r="825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21D">
        <w:rPr>
          <w:rFonts w:ascii="方正仿宋_GBK" w:eastAsia="方正仿宋_GBK" w:hAnsi="方正仿宋_GBK" w:cs="方正仿宋_GBK" w:hint="eastAsia"/>
          <w:sz w:val="32"/>
          <w:szCs w:val="32"/>
        </w:rPr>
        <w:t>照片：</w:t>
      </w:r>
    </w:p>
    <w:p w14:paraId="6119225B" w14:textId="499CCF2C" w:rsidR="0096421D" w:rsidRDefault="0096421D" w:rsidP="0096421D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</w:p>
    <w:p w14:paraId="3DB5F3A8" w14:textId="7C432BE0" w:rsidR="0096421D" w:rsidRDefault="0096421D" w:rsidP="0096421D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337E262A" w14:textId="098AF6D9" w:rsidR="0096421D" w:rsidRDefault="0096421D" w:rsidP="0096421D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4D61DF74" w14:textId="77777777" w:rsidR="0096421D" w:rsidRPr="0096421D" w:rsidRDefault="0096421D" w:rsidP="0096421D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5B092A94" w14:textId="467C761D" w:rsidR="0056639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3、职称：</w:t>
      </w:r>
      <w:r w:rsidR="00453533">
        <w:rPr>
          <w:rFonts w:ascii="方正仿宋_GBK" w:eastAsia="方正仿宋_GBK" w:hAnsi="方正仿宋_GBK" w:cs="方正仿宋_GBK" w:hint="eastAsia"/>
          <w:sz w:val="32"/>
          <w:szCs w:val="32"/>
        </w:rPr>
        <w:t>副研究员</w:t>
      </w:r>
    </w:p>
    <w:p w14:paraId="16D931DD" w14:textId="77777777" w:rsidR="00070EDC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4、主要研究领域和方向（100字以内）：</w:t>
      </w:r>
    </w:p>
    <w:p w14:paraId="09B3596B" w14:textId="57F96D0B" w:rsidR="00566398" w:rsidRDefault="00CB1EBA" w:rsidP="00070EDC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卵泡生长和发育</w:t>
      </w:r>
      <w:r w:rsidR="00934AB2">
        <w:rPr>
          <w:rFonts w:ascii="方正仿宋_GBK" w:eastAsia="方正仿宋_GBK" w:hAnsi="方正仿宋_GBK" w:cs="方正仿宋_GBK" w:hint="eastAsia"/>
          <w:sz w:val="32"/>
          <w:szCs w:val="32"/>
        </w:rPr>
        <w:t>的机制研究（颗粒细胞和卵母细胞的互作）；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卵母细胞体外受精和胚胎发育</w:t>
      </w:r>
      <w:r w:rsidR="00934AB2">
        <w:rPr>
          <w:rFonts w:ascii="方正仿宋_GBK" w:eastAsia="方正仿宋_GBK" w:hAnsi="方正仿宋_GBK" w:cs="方正仿宋_GBK" w:hint="eastAsia"/>
          <w:sz w:val="32"/>
          <w:szCs w:val="32"/>
        </w:rPr>
        <w:t>机制的探索；体外受精技术对新生儿出生健康的影响。</w:t>
      </w:r>
    </w:p>
    <w:p w14:paraId="407A15B1" w14:textId="7B4D38E6" w:rsidR="0056639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5、联系方式（邮箱）：</w:t>
      </w:r>
      <w:r w:rsidR="00453533">
        <w:rPr>
          <w:rFonts w:ascii="方正仿宋_GBK" w:eastAsia="方正仿宋_GBK" w:hAnsi="方正仿宋_GBK" w:cs="方正仿宋_GBK" w:hint="eastAsia"/>
          <w:sz w:val="32"/>
          <w:szCs w:val="32"/>
        </w:rPr>
        <w:t>j</w:t>
      </w:r>
      <w:r w:rsidR="00453533">
        <w:rPr>
          <w:rFonts w:ascii="方正仿宋_GBK" w:eastAsia="方正仿宋_GBK" w:hAnsi="方正仿宋_GBK" w:cs="方正仿宋_GBK"/>
          <w:sz w:val="32"/>
          <w:szCs w:val="32"/>
        </w:rPr>
        <w:t>uliazhulihua@sina.com</w:t>
      </w:r>
    </w:p>
    <w:p w14:paraId="269F0D81" w14:textId="41C72886" w:rsidR="0056639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6、承担的项目（近五年）：</w:t>
      </w:r>
      <w:r w:rsidR="00453533">
        <w:rPr>
          <w:rFonts w:ascii="方正仿宋_GBK" w:eastAsia="方正仿宋_GBK" w:hAnsi="方正仿宋_GBK" w:cs="方正仿宋_GBK" w:hint="eastAsia"/>
          <w:sz w:val="32"/>
          <w:szCs w:val="32"/>
        </w:rPr>
        <w:t>国家自然科学基金青年基金</w:t>
      </w:r>
      <w:r w:rsidR="00CB1EBA">
        <w:rPr>
          <w:rFonts w:ascii="方正仿宋_GBK" w:eastAsia="方正仿宋_GBK" w:hAnsi="方正仿宋_GBK" w:cs="方正仿宋_GBK" w:hint="eastAsia"/>
          <w:sz w:val="32"/>
          <w:szCs w:val="32"/>
        </w:rPr>
        <w:t>（在</w:t>
      </w:r>
      <w:proofErr w:type="gramStart"/>
      <w:r w:rsidR="00CB1EBA">
        <w:rPr>
          <w:rFonts w:ascii="方正仿宋_GBK" w:eastAsia="方正仿宋_GBK" w:hAnsi="方正仿宋_GBK" w:cs="方正仿宋_GBK" w:hint="eastAsia"/>
          <w:sz w:val="32"/>
          <w:szCs w:val="32"/>
        </w:rPr>
        <w:t>研</w:t>
      </w:r>
      <w:proofErr w:type="gramEnd"/>
      <w:r w:rsidR="00CB1EBA">
        <w:rPr>
          <w:rFonts w:ascii="方正仿宋_GBK" w:eastAsia="方正仿宋_GBK" w:hAnsi="方正仿宋_GBK" w:cs="方正仿宋_GBK" w:hint="eastAsia"/>
          <w:sz w:val="32"/>
          <w:szCs w:val="32"/>
        </w:rPr>
        <w:t>）</w:t>
      </w:r>
    </w:p>
    <w:p w14:paraId="3ED5DE69" w14:textId="3D5AA55C" w:rsidR="0056639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7、代表性论文（近五年）：</w:t>
      </w:r>
    </w:p>
    <w:p w14:paraId="7FCCFF1E" w14:textId="34ABFC33" w:rsidR="007457DC" w:rsidRDefault="007457DC" w:rsidP="007457DC">
      <w:pPr>
        <w:spacing w:line="360" w:lineRule="auto"/>
        <w:rPr>
          <w:rFonts w:ascii="宋体" w:cs="宋体"/>
          <w:kern w:val="0"/>
          <w:sz w:val="19"/>
          <w:szCs w:val="19"/>
        </w:rPr>
      </w:pPr>
      <w:r>
        <w:rPr>
          <w:rFonts w:ascii="宋体" w:cs="宋体"/>
          <w:kern w:val="0"/>
          <w:sz w:val="19"/>
          <w:szCs w:val="19"/>
        </w:rPr>
        <w:t xml:space="preserve">(1) </w:t>
      </w:r>
      <w:r w:rsidRPr="0095295C">
        <w:rPr>
          <w:rFonts w:ascii="宋体" w:cs="宋体"/>
          <w:b/>
          <w:bCs/>
          <w:kern w:val="0"/>
          <w:sz w:val="19"/>
          <w:szCs w:val="19"/>
        </w:rPr>
        <w:t>Lihua Zhu</w:t>
      </w:r>
      <w:r w:rsidRPr="0095295C">
        <w:rPr>
          <w:rFonts w:eastAsia="楷体_GB2312"/>
          <w:b/>
          <w:bCs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>; Jie Wang</w:t>
      </w:r>
      <w:r w:rsidRPr="007158A4">
        <w:rPr>
          <w:rFonts w:eastAsia="楷体_GB2312"/>
          <w:b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 xml:space="preserve">; </w:t>
      </w:r>
      <w:proofErr w:type="spellStart"/>
      <w:r>
        <w:rPr>
          <w:rFonts w:ascii="宋体" w:cs="宋体"/>
          <w:kern w:val="0"/>
          <w:sz w:val="19"/>
          <w:szCs w:val="19"/>
        </w:rPr>
        <w:t>Linjun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Chen; </w:t>
      </w:r>
      <w:proofErr w:type="spellStart"/>
      <w:r>
        <w:rPr>
          <w:rFonts w:ascii="宋体" w:cs="宋体"/>
          <w:kern w:val="0"/>
          <w:sz w:val="19"/>
          <w:szCs w:val="19"/>
        </w:rPr>
        <w:t>Weihua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Jiang; </w:t>
      </w:r>
      <w:proofErr w:type="spellStart"/>
      <w:r>
        <w:rPr>
          <w:rFonts w:ascii="宋体" w:cs="宋体"/>
          <w:kern w:val="0"/>
          <w:sz w:val="19"/>
          <w:szCs w:val="19"/>
        </w:rPr>
        <w:t>Junshun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Fang; </w:t>
      </w:r>
      <w:proofErr w:type="spellStart"/>
      <w:r>
        <w:rPr>
          <w:rFonts w:ascii="宋体" w:cs="宋体"/>
          <w:kern w:val="0"/>
          <w:sz w:val="19"/>
          <w:szCs w:val="19"/>
        </w:rPr>
        <w:t>ShanShan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Wang; Fei Lin</w:t>
      </w:r>
      <w:r w:rsidRPr="00685ED3">
        <w:rPr>
          <w:rFonts w:eastAsia="楷体_GB2312"/>
          <w:vertAlign w:val="superscript"/>
          <w:lang w:val="it-IT"/>
        </w:rPr>
        <w:t>*</w:t>
      </w:r>
      <w:r>
        <w:rPr>
          <w:rFonts w:ascii="宋体" w:cs="宋体"/>
          <w:kern w:val="0"/>
          <w:sz w:val="19"/>
          <w:szCs w:val="19"/>
        </w:rPr>
        <w:t xml:space="preserve">; </w:t>
      </w:r>
      <w:proofErr w:type="spellStart"/>
      <w:r>
        <w:rPr>
          <w:rFonts w:ascii="宋体" w:cs="宋体"/>
          <w:kern w:val="0"/>
          <w:sz w:val="19"/>
          <w:szCs w:val="19"/>
        </w:rPr>
        <w:t>Ningyuan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Zhang</w:t>
      </w:r>
      <w:r w:rsidRPr="00685ED3">
        <w:rPr>
          <w:rFonts w:eastAsia="楷体_GB2312"/>
          <w:vertAlign w:val="superscript"/>
          <w:lang w:val="it-IT"/>
        </w:rPr>
        <w:t>*</w:t>
      </w:r>
      <w:r>
        <w:rPr>
          <w:rFonts w:ascii="宋体" w:cs="宋体"/>
          <w:kern w:val="0"/>
          <w:sz w:val="19"/>
          <w:szCs w:val="19"/>
        </w:rPr>
        <w:t xml:space="preserve"> ; Blastocyst development rate influences singleton gestational age of similarly graded blastocysts after vitrified</w:t>
      </w:r>
      <w:r>
        <w:rPr>
          <w:rFonts w:ascii="宋体" w:cs="宋体" w:hint="eastAsia"/>
          <w:kern w:val="0"/>
          <w:sz w:val="19"/>
          <w:szCs w:val="19"/>
        </w:rPr>
        <w:t>–</w:t>
      </w:r>
      <w:r>
        <w:rPr>
          <w:rFonts w:ascii="宋体" w:cs="宋体"/>
          <w:kern w:val="0"/>
          <w:sz w:val="19"/>
          <w:szCs w:val="19"/>
        </w:rPr>
        <w:t xml:space="preserve">warmed single embryo transfer cycles, </w:t>
      </w:r>
      <w:r w:rsidRPr="0095295C">
        <w:rPr>
          <w:rFonts w:ascii="宋体" w:cs="宋体"/>
          <w:kern w:val="0"/>
          <w:sz w:val="19"/>
          <w:szCs w:val="19"/>
        </w:rPr>
        <w:t xml:space="preserve">Reproductive </w:t>
      </w:r>
      <w:proofErr w:type="spellStart"/>
      <w:r w:rsidRPr="0095295C">
        <w:rPr>
          <w:rFonts w:ascii="宋体" w:cs="宋体"/>
          <w:kern w:val="0"/>
          <w:sz w:val="19"/>
          <w:szCs w:val="19"/>
        </w:rPr>
        <w:t>BioMedicine</w:t>
      </w:r>
      <w:proofErr w:type="spellEnd"/>
      <w:r w:rsidRPr="0095295C">
        <w:rPr>
          <w:rFonts w:ascii="宋体" w:cs="宋体"/>
          <w:kern w:val="0"/>
          <w:sz w:val="19"/>
          <w:szCs w:val="19"/>
        </w:rPr>
        <w:t xml:space="preserve"> Online</w:t>
      </w:r>
      <w:r>
        <w:rPr>
          <w:rFonts w:ascii="宋体" w:cs="宋体"/>
          <w:kern w:val="0"/>
          <w:sz w:val="19"/>
          <w:szCs w:val="19"/>
        </w:rPr>
        <w:t xml:space="preserve">, 2022, S1472-6483(21)(11): 1-10 </w:t>
      </w:r>
    </w:p>
    <w:p w14:paraId="76641523" w14:textId="18AF2BB5" w:rsidR="007457DC" w:rsidRDefault="007457DC" w:rsidP="007457DC">
      <w:pPr>
        <w:spacing w:line="360" w:lineRule="auto"/>
        <w:rPr>
          <w:rFonts w:ascii="宋体" w:cs="宋体"/>
          <w:kern w:val="0"/>
          <w:sz w:val="19"/>
          <w:szCs w:val="19"/>
        </w:rPr>
      </w:pPr>
      <w:r>
        <w:rPr>
          <w:rFonts w:ascii="宋体" w:cs="宋体"/>
          <w:kern w:val="0"/>
          <w:sz w:val="19"/>
          <w:szCs w:val="19"/>
        </w:rPr>
        <w:t>(2)</w:t>
      </w:r>
      <w:r w:rsidRPr="0095295C">
        <w:rPr>
          <w:rFonts w:ascii="宋体" w:cs="宋体"/>
          <w:b/>
          <w:bCs/>
          <w:kern w:val="0"/>
          <w:sz w:val="19"/>
          <w:szCs w:val="19"/>
        </w:rPr>
        <w:t xml:space="preserve"> Li-</w:t>
      </w:r>
      <w:proofErr w:type="spellStart"/>
      <w:r w:rsidRPr="0095295C">
        <w:rPr>
          <w:rFonts w:ascii="宋体" w:cs="宋体"/>
          <w:b/>
          <w:bCs/>
          <w:kern w:val="0"/>
          <w:sz w:val="19"/>
          <w:szCs w:val="19"/>
        </w:rPr>
        <w:t>hua</w:t>
      </w:r>
      <w:proofErr w:type="spellEnd"/>
      <w:r w:rsidRPr="0095295C">
        <w:rPr>
          <w:rFonts w:ascii="宋体" w:cs="宋体"/>
          <w:b/>
          <w:bCs/>
          <w:kern w:val="0"/>
          <w:sz w:val="19"/>
          <w:szCs w:val="19"/>
        </w:rPr>
        <w:t xml:space="preserve"> Zhu</w:t>
      </w:r>
      <w:r w:rsidRPr="0095295C">
        <w:rPr>
          <w:rFonts w:eastAsia="楷体_GB2312"/>
          <w:b/>
          <w:bCs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>; Xiao-</w:t>
      </w:r>
      <w:proofErr w:type="spellStart"/>
      <w:r>
        <w:rPr>
          <w:rFonts w:ascii="宋体" w:cs="宋体"/>
          <w:kern w:val="0"/>
          <w:sz w:val="19"/>
          <w:szCs w:val="19"/>
        </w:rPr>
        <w:t>bei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Ni</w:t>
      </w:r>
      <w:r w:rsidRPr="007158A4">
        <w:rPr>
          <w:rFonts w:eastAsia="楷体_GB2312"/>
          <w:b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>; Fei Lin; Zhi-</w:t>
      </w:r>
      <w:proofErr w:type="spellStart"/>
      <w:r>
        <w:rPr>
          <w:rFonts w:ascii="宋体" w:cs="宋体"/>
          <w:kern w:val="0"/>
          <w:sz w:val="19"/>
          <w:szCs w:val="19"/>
        </w:rPr>
        <w:t>peng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Xu; Jun-shun Fang</w:t>
      </w:r>
      <w:r w:rsidRPr="00685ED3">
        <w:rPr>
          <w:rFonts w:eastAsia="楷体_GB2312"/>
          <w:vertAlign w:val="superscript"/>
          <w:lang w:val="it-IT"/>
        </w:rPr>
        <w:t>*</w:t>
      </w:r>
      <w:r>
        <w:rPr>
          <w:rFonts w:ascii="宋体" w:cs="宋体"/>
          <w:kern w:val="0"/>
          <w:sz w:val="19"/>
          <w:szCs w:val="19"/>
        </w:rPr>
        <w:t>; Ning-yuan Zhang</w:t>
      </w:r>
      <w:r w:rsidRPr="00685ED3">
        <w:rPr>
          <w:rFonts w:eastAsia="楷体_GB2312"/>
          <w:vertAlign w:val="superscript"/>
          <w:lang w:val="it-IT"/>
        </w:rPr>
        <w:t>*</w:t>
      </w:r>
      <w:r>
        <w:rPr>
          <w:rFonts w:ascii="宋体" w:cs="宋体"/>
          <w:kern w:val="0"/>
          <w:sz w:val="19"/>
          <w:szCs w:val="19"/>
        </w:rPr>
        <w:t xml:space="preserve">; The impact of follicle-flushing during oocyte collection on embryo development of in-vitro </w:t>
      </w:r>
      <w:proofErr w:type="spellStart"/>
      <w:r>
        <w:rPr>
          <w:rFonts w:ascii="宋体" w:cs="宋体"/>
          <w:kern w:val="0"/>
          <w:sz w:val="19"/>
          <w:szCs w:val="19"/>
        </w:rPr>
        <w:t>fertilization,</w:t>
      </w:r>
      <w:r w:rsidRPr="0095295C">
        <w:rPr>
          <w:rFonts w:ascii="宋体" w:cs="宋体"/>
          <w:kern w:val="0"/>
          <w:sz w:val="19"/>
          <w:szCs w:val="19"/>
        </w:rPr>
        <w:t>Reproductive</w:t>
      </w:r>
      <w:proofErr w:type="spellEnd"/>
      <w:r w:rsidRPr="0095295C">
        <w:rPr>
          <w:rFonts w:ascii="宋体" w:cs="宋体"/>
          <w:kern w:val="0"/>
          <w:sz w:val="19"/>
          <w:szCs w:val="19"/>
        </w:rPr>
        <w:t xml:space="preserve"> Biology and Endocrinology</w:t>
      </w:r>
      <w:r>
        <w:rPr>
          <w:rFonts w:ascii="宋体" w:cs="宋体"/>
          <w:kern w:val="0"/>
          <w:sz w:val="19"/>
          <w:szCs w:val="19"/>
        </w:rPr>
        <w:t xml:space="preserve">, 2019, 17(106): 1-7 </w:t>
      </w:r>
    </w:p>
    <w:p w14:paraId="74854F72" w14:textId="49AF3632" w:rsidR="007457DC" w:rsidRPr="007457DC" w:rsidRDefault="007457DC" w:rsidP="007457DC">
      <w:pPr>
        <w:spacing w:line="360" w:lineRule="auto"/>
        <w:rPr>
          <w:rFonts w:ascii="宋体" w:cs="宋体"/>
          <w:kern w:val="0"/>
          <w:sz w:val="19"/>
          <w:szCs w:val="19"/>
        </w:rPr>
      </w:pPr>
      <w:r>
        <w:rPr>
          <w:rFonts w:ascii="宋体" w:cs="宋体"/>
          <w:kern w:val="0"/>
          <w:sz w:val="19"/>
          <w:szCs w:val="19"/>
        </w:rPr>
        <w:t xml:space="preserve">(3) </w:t>
      </w:r>
      <w:proofErr w:type="spellStart"/>
      <w:r>
        <w:rPr>
          <w:rFonts w:ascii="宋体" w:cs="宋体"/>
          <w:kern w:val="0"/>
          <w:sz w:val="19"/>
          <w:szCs w:val="19"/>
        </w:rPr>
        <w:t>Junshun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Fang</w:t>
      </w:r>
      <w:r w:rsidRPr="007158A4">
        <w:rPr>
          <w:rFonts w:eastAsia="楷体_GB2312"/>
          <w:b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 xml:space="preserve">; </w:t>
      </w:r>
      <w:r w:rsidRPr="0095295C">
        <w:rPr>
          <w:rFonts w:ascii="宋体" w:cs="宋体"/>
          <w:b/>
          <w:bCs/>
          <w:kern w:val="0"/>
          <w:sz w:val="19"/>
          <w:szCs w:val="19"/>
        </w:rPr>
        <w:t>Lihua Zhu</w:t>
      </w:r>
      <w:r w:rsidRPr="0095295C">
        <w:rPr>
          <w:rFonts w:eastAsia="楷体_GB2312"/>
          <w:b/>
          <w:bCs/>
          <w:vertAlign w:val="superscript"/>
          <w:lang w:val="it-IT"/>
        </w:rPr>
        <w:t>#</w:t>
      </w:r>
      <w:r>
        <w:rPr>
          <w:rFonts w:ascii="宋体" w:cs="宋体"/>
          <w:kern w:val="0"/>
          <w:sz w:val="19"/>
          <w:szCs w:val="19"/>
        </w:rPr>
        <w:t xml:space="preserve">; Dong Li; </w:t>
      </w:r>
      <w:proofErr w:type="spellStart"/>
      <w:r>
        <w:rPr>
          <w:rFonts w:ascii="宋体" w:cs="宋体"/>
          <w:kern w:val="0"/>
          <w:sz w:val="19"/>
          <w:szCs w:val="19"/>
        </w:rPr>
        <w:t>Zhipeng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Xu; </w:t>
      </w:r>
      <w:proofErr w:type="spellStart"/>
      <w:r>
        <w:rPr>
          <w:rFonts w:ascii="宋体" w:cs="宋体"/>
          <w:kern w:val="0"/>
          <w:sz w:val="19"/>
          <w:szCs w:val="19"/>
        </w:rPr>
        <w:t>Guijun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Yan; </w:t>
      </w:r>
      <w:proofErr w:type="spellStart"/>
      <w:r>
        <w:rPr>
          <w:rFonts w:ascii="宋体" w:cs="宋体"/>
          <w:kern w:val="0"/>
          <w:sz w:val="19"/>
          <w:szCs w:val="19"/>
        </w:rPr>
        <w:t>Haixiang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Sun; </w:t>
      </w:r>
      <w:proofErr w:type="spellStart"/>
      <w:r>
        <w:rPr>
          <w:rFonts w:ascii="宋体" w:cs="宋体"/>
          <w:kern w:val="0"/>
          <w:sz w:val="19"/>
          <w:szCs w:val="19"/>
        </w:rPr>
        <w:t>Ningyuan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Zhang; </w:t>
      </w:r>
      <w:proofErr w:type="spellStart"/>
      <w:r>
        <w:rPr>
          <w:rFonts w:ascii="宋体" w:cs="宋体"/>
          <w:kern w:val="0"/>
          <w:sz w:val="19"/>
          <w:szCs w:val="19"/>
        </w:rPr>
        <w:t>Linjun</w:t>
      </w:r>
      <w:proofErr w:type="spellEnd"/>
      <w:r>
        <w:rPr>
          <w:rFonts w:ascii="宋体" w:cs="宋体"/>
          <w:kern w:val="0"/>
          <w:sz w:val="19"/>
          <w:szCs w:val="19"/>
        </w:rPr>
        <w:t xml:space="preserve"> Chen</w:t>
      </w:r>
      <w:r w:rsidRPr="00685ED3">
        <w:rPr>
          <w:rFonts w:eastAsia="楷体_GB2312"/>
          <w:vertAlign w:val="superscript"/>
          <w:lang w:val="it-IT"/>
        </w:rPr>
        <w:t>*</w:t>
      </w:r>
      <w:r>
        <w:rPr>
          <w:rFonts w:ascii="宋体" w:cs="宋体"/>
          <w:kern w:val="0"/>
          <w:sz w:val="19"/>
          <w:szCs w:val="19"/>
        </w:rPr>
        <w:t>; Effect of embryo and blastocyst transfer on the birthweight of live-born singletons</w:t>
      </w:r>
      <w:r>
        <w:rPr>
          <w:rFonts w:ascii="宋体" w:cs="宋体" w:hint="eastAsia"/>
          <w:kern w:val="0"/>
          <w:sz w:val="19"/>
          <w:szCs w:val="19"/>
        </w:rPr>
        <w:t xml:space="preserve"> </w:t>
      </w:r>
      <w:r>
        <w:rPr>
          <w:rFonts w:ascii="宋体" w:cs="宋体"/>
          <w:kern w:val="0"/>
          <w:sz w:val="19"/>
          <w:szCs w:val="19"/>
        </w:rPr>
        <w:t xml:space="preserve">from FET cycles, </w:t>
      </w:r>
      <w:r w:rsidRPr="0095295C">
        <w:rPr>
          <w:rFonts w:ascii="宋体" w:cs="宋体"/>
          <w:kern w:val="0"/>
          <w:sz w:val="19"/>
          <w:szCs w:val="19"/>
        </w:rPr>
        <w:t>Journal of Assisted Reproduction and Genetics</w:t>
      </w:r>
      <w:r>
        <w:rPr>
          <w:rFonts w:ascii="宋体" w:cs="宋体"/>
          <w:kern w:val="0"/>
          <w:sz w:val="19"/>
          <w:szCs w:val="19"/>
        </w:rPr>
        <w:t xml:space="preserve">, 2018, 35(10): </w:t>
      </w:r>
      <w:r>
        <w:rPr>
          <w:rFonts w:ascii="宋体" w:cs="宋体"/>
          <w:kern w:val="0"/>
          <w:sz w:val="19"/>
          <w:szCs w:val="19"/>
        </w:rPr>
        <w:lastRenderedPageBreak/>
        <w:t xml:space="preserve">1905-1910 </w:t>
      </w:r>
    </w:p>
    <w:p w14:paraId="3945BE6D" w14:textId="77777777" w:rsidR="007457DC" w:rsidRPr="00E8259A" w:rsidRDefault="007457DC" w:rsidP="007457DC">
      <w:pPr>
        <w:spacing w:line="360" w:lineRule="exact"/>
      </w:pPr>
      <w:r>
        <w:rPr>
          <w:rFonts w:ascii="宋体" w:cs="宋体"/>
          <w:kern w:val="0"/>
          <w:sz w:val="19"/>
          <w:szCs w:val="19"/>
        </w:rPr>
        <w:t>(</w:t>
      </w:r>
      <w:r w:rsidRPr="00E8259A">
        <w:t>4)</w:t>
      </w:r>
      <w:r w:rsidRPr="00E8259A">
        <w:rPr>
          <w:rFonts w:hint="eastAsia"/>
        </w:rPr>
        <w:t>倪晓蓓</w:t>
      </w:r>
      <w:r w:rsidRPr="009534C4">
        <w:rPr>
          <w:vertAlign w:val="superscript"/>
        </w:rPr>
        <w:t>#</w:t>
      </w:r>
      <w:r w:rsidRPr="00E8259A">
        <w:rPr>
          <w:rFonts w:hint="eastAsia"/>
        </w:rPr>
        <w:t>，陈林君，</w:t>
      </w:r>
      <w:r w:rsidRPr="00E8259A">
        <w:rPr>
          <w:rFonts w:hint="eastAsia"/>
          <w:b/>
          <w:bCs/>
        </w:rPr>
        <w:t>朱丽华</w:t>
      </w:r>
      <w:r w:rsidRPr="00E8259A">
        <w:rPr>
          <w:b/>
          <w:bCs/>
        </w:rPr>
        <w:t>*</w:t>
      </w:r>
      <w:r w:rsidRPr="00E8259A">
        <w:rPr>
          <w:rFonts w:hint="eastAsia"/>
        </w:rPr>
        <w:t>，供</w:t>
      </w:r>
      <w:proofErr w:type="gramStart"/>
      <w:r w:rsidRPr="00E8259A">
        <w:rPr>
          <w:rFonts w:hint="eastAsia"/>
        </w:rPr>
        <w:t>精使用</w:t>
      </w:r>
      <w:proofErr w:type="gramEnd"/>
      <w:r w:rsidRPr="00E8259A">
        <w:rPr>
          <w:rFonts w:hint="eastAsia"/>
        </w:rPr>
        <w:t>对辅助生殖</w:t>
      </w:r>
      <w:r w:rsidRPr="00E8259A">
        <w:rPr>
          <w:rFonts w:hint="eastAsia"/>
        </w:rPr>
        <w:t>I</w:t>
      </w:r>
      <w:r w:rsidRPr="00E8259A">
        <w:t>VF-ET</w:t>
      </w:r>
      <w:r w:rsidRPr="00E8259A">
        <w:rPr>
          <w:rFonts w:hint="eastAsia"/>
        </w:rPr>
        <w:t>临床结局的影响，中国生育健康杂志，</w:t>
      </w:r>
      <w:r w:rsidRPr="00E8259A">
        <w:rPr>
          <w:rFonts w:hint="eastAsia"/>
        </w:rPr>
        <w:t>2</w:t>
      </w:r>
      <w:r w:rsidRPr="00E8259A">
        <w:t>022</w:t>
      </w:r>
      <w:r w:rsidRPr="00E8259A">
        <w:rPr>
          <w:rFonts w:hint="eastAsia"/>
        </w:rPr>
        <w:t>，</w:t>
      </w:r>
      <w:r w:rsidRPr="00E8259A">
        <w:rPr>
          <w:rFonts w:hint="eastAsia"/>
        </w:rPr>
        <w:t>3</w:t>
      </w:r>
      <w:r w:rsidRPr="00E8259A">
        <w:t>3</w:t>
      </w:r>
      <w:r w:rsidRPr="00E8259A">
        <w:rPr>
          <w:rFonts w:hint="eastAsia"/>
        </w:rPr>
        <w:t>（</w:t>
      </w:r>
      <w:r w:rsidRPr="00E8259A">
        <w:rPr>
          <w:rFonts w:hint="eastAsia"/>
        </w:rPr>
        <w:t>5</w:t>
      </w:r>
      <w:r w:rsidRPr="00E8259A">
        <w:rPr>
          <w:rFonts w:hint="eastAsia"/>
        </w:rPr>
        <w:t>）：</w:t>
      </w:r>
      <w:r w:rsidRPr="00E8259A">
        <w:rPr>
          <w:rFonts w:hint="eastAsia"/>
        </w:rPr>
        <w:t>4</w:t>
      </w:r>
      <w:r w:rsidRPr="00E8259A">
        <w:t>70-473</w:t>
      </w:r>
    </w:p>
    <w:p w14:paraId="2DC2461A" w14:textId="77777777" w:rsidR="00566398" w:rsidRPr="007457DC" w:rsidRDefault="00566398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7DC488F8" w14:textId="77777777" w:rsidR="00566398" w:rsidRDefault="00566398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566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num w:numId="1" w16cid:durableId="117645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2NTYzNjY2MDU3OTg1ZDhmYjAwNTYzMDI5MjM4ZjkifQ=="/>
  </w:docVars>
  <w:rsids>
    <w:rsidRoot w:val="00566398"/>
    <w:rsid w:val="00070EDC"/>
    <w:rsid w:val="003B1EBB"/>
    <w:rsid w:val="00453533"/>
    <w:rsid w:val="00566398"/>
    <w:rsid w:val="007457DC"/>
    <w:rsid w:val="00934AB2"/>
    <w:rsid w:val="009534C4"/>
    <w:rsid w:val="0096421D"/>
    <w:rsid w:val="00CB1EBA"/>
    <w:rsid w:val="00CF4C4E"/>
    <w:rsid w:val="00D60748"/>
    <w:rsid w:val="00E42644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5B3E52"/>
  <w15:docId w15:val="{61E940B8-1CBF-4D74-AB34-7008BBF6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642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lihua zhu</cp:lastModifiedBy>
  <cp:revision>11</cp:revision>
  <dcterms:created xsi:type="dcterms:W3CDTF">2023-03-06T03:10:00Z</dcterms:created>
  <dcterms:modified xsi:type="dcterms:W3CDTF">2023-03-09T14:56:00Z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